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440"/>
        <w:tblW w:w="14676" w:type="dxa"/>
        <w:tblLook w:val="04A0" w:firstRow="1" w:lastRow="0" w:firstColumn="1" w:lastColumn="0" w:noHBand="0" w:noVBand="1"/>
      </w:tblPr>
      <w:tblGrid>
        <w:gridCol w:w="1287"/>
        <w:gridCol w:w="2231"/>
        <w:gridCol w:w="987"/>
        <w:gridCol w:w="1244"/>
        <w:gridCol w:w="686"/>
        <w:gridCol w:w="1545"/>
        <w:gridCol w:w="385"/>
        <w:gridCol w:w="1846"/>
        <w:gridCol w:w="213"/>
        <w:gridCol w:w="2018"/>
        <w:gridCol w:w="41"/>
        <w:gridCol w:w="2193"/>
      </w:tblGrid>
      <w:tr w:rsidR="00FA474A" w:rsidTr="00600BA9">
        <w:trPr>
          <w:trHeight w:val="271"/>
        </w:trPr>
        <w:tc>
          <w:tcPr>
            <w:tcW w:w="14676" w:type="dxa"/>
            <w:gridSpan w:val="12"/>
          </w:tcPr>
          <w:p w:rsidR="00FA474A" w:rsidRPr="00274936" w:rsidRDefault="00FA474A" w:rsidP="00600BA9">
            <w:pPr>
              <w:jc w:val="center"/>
              <w:rPr>
                <w:b/>
              </w:rPr>
            </w:pPr>
            <w:r w:rsidRPr="00274936">
              <w:rPr>
                <w:b/>
              </w:rPr>
              <w:t>Reception</w:t>
            </w:r>
          </w:p>
        </w:tc>
      </w:tr>
      <w:tr w:rsidR="00FA474A" w:rsidTr="00600BA9">
        <w:trPr>
          <w:trHeight w:val="572"/>
        </w:trPr>
        <w:tc>
          <w:tcPr>
            <w:tcW w:w="1287" w:type="dxa"/>
          </w:tcPr>
          <w:p w:rsidR="00FA474A" w:rsidRDefault="00FA474A" w:rsidP="00600BA9">
            <w:bookmarkStart w:id="0" w:name="_GoBack"/>
            <w:bookmarkEnd w:id="0"/>
            <w:r>
              <w:t>Topic</w:t>
            </w:r>
          </w:p>
        </w:tc>
        <w:tc>
          <w:tcPr>
            <w:tcW w:w="3218" w:type="dxa"/>
            <w:gridSpan w:val="2"/>
          </w:tcPr>
          <w:p w:rsidR="00FA474A" w:rsidRDefault="00FA474A" w:rsidP="00600BA9">
            <w:pPr>
              <w:jc w:val="center"/>
            </w:pPr>
            <w:r w:rsidRPr="00153C86">
              <w:rPr>
                <w:rFonts w:ascii="Calibri" w:eastAsia="Times New Roman" w:hAnsi="Calibri" w:cs="Calibri"/>
                <w:color w:val="000000"/>
                <w:sz w:val="24"/>
                <w:szCs w:val="24"/>
                <w:lang w:eastAsia="en-GB"/>
              </w:rPr>
              <w:t>Exploring Sound</w:t>
            </w:r>
          </w:p>
        </w:tc>
        <w:tc>
          <w:tcPr>
            <w:tcW w:w="1930" w:type="dxa"/>
            <w:gridSpan w:val="2"/>
          </w:tcPr>
          <w:p w:rsidR="00FA474A" w:rsidRDefault="00FA474A" w:rsidP="00600BA9">
            <w:pPr>
              <w:jc w:val="center"/>
            </w:pPr>
            <w:r>
              <w:rPr>
                <w:rFonts w:ascii="Calibri" w:eastAsia="Times New Roman" w:hAnsi="Calibri" w:cs="Calibri"/>
                <w:color w:val="000000"/>
                <w:sz w:val="24"/>
                <w:szCs w:val="24"/>
                <w:lang w:eastAsia="en-GB"/>
              </w:rPr>
              <w:t>Celebration music</w:t>
            </w:r>
          </w:p>
        </w:tc>
        <w:tc>
          <w:tcPr>
            <w:tcW w:w="1930" w:type="dxa"/>
            <w:gridSpan w:val="2"/>
          </w:tcPr>
          <w:p w:rsidR="00FA474A" w:rsidRDefault="00FA474A" w:rsidP="00600BA9">
            <w:pPr>
              <w:jc w:val="center"/>
            </w:pPr>
            <w:r w:rsidRPr="00153C86">
              <w:rPr>
                <w:rFonts w:ascii="Calibri" w:eastAsia="Times New Roman" w:hAnsi="Calibri" w:cs="Calibri"/>
                <w:color w:val="000000"/>
                <w:sz w:val="24"/>
                <w:szCs w:val="24"/>
                <w:lang w:eastAsia="en-GB"/>
              </w:rPr>
              <w:t>Transport</w:t>
            </w:r>
          </w:p>
        </w:tc>
        <w:tc>
          <w:tcPr>
            <w:tcW w:w="2059" w:type="dxa"/>
            <w:gridSpan w:val="2"/>
          </w:tcPr>
          <w:p w:rsidR="00FA474A" w:rsidRDefault="00FA474A" w:rsidP="00600BA9">
            <w:pPr>
              <w:jc w:val="center"/>
            </w:pPr>
            <w:r w:rsidRPr="00153C86">
              <w:rPr>
                <w:rFonts w:ascii="Calibri" w:eastAsia="Times New Roman" w:hAnsi="Calibri" w:cs="Calibri"/>
                <w:color w:val="000000"/>
                <w:sz w:val="24"/>
                <w:szCs w:val="24"/>
                <w:lang w:eastAsia="en-GB"/>
              </w:rPr>
              <w:t>Music and movement</w:t>
            </w:r>
          </w:p>
        </w:tc>
        <w:tc>
          <w:tcPr>
            <w:tcW w:w="2059" w:type="dxa"/>
            <w:gridSpan w:val="2"/>
          </w:tcPr>
          <w:p w:rsidR="00FA474A" w:rsidRDefault="00FA474A" w:rsidP="00600BA9">
            <w:pPr>
              <w:jc w:val="center"/>
            </w:pPr>
            <w:r w:rsidRPr="00153C86">
              <w:rPr>
                <w:rFonts w:ascii="Calibri" w:eastAsia="Times New Roman" w:hAnsi="Calibri" w:cs="Calibri"/>
                <w:color w:val="000000"/>
                <w:sz w:val="24"/>
                <w:szCs w:val="24"/>
                <w:lang w:eastAsia="en-GB"/>
              </w:rPr>
              <w:t>Musical stories</w:t>
            </w:r>
          </w:p>
        </w:tc>
        <w:tc>
          <w:tcPr>
            <w:tcW w:w="2193" w:type="dxa"/>
          </w:tcPr>
          <w:p w:rsidR="00FA474A" w:rsidRDefault="00FA474A" w:rsidP="00600BA9">
            <w:pPr>
              <w:jc w:val="center"/>
            </w:pPr>
            <w:r w:rsidRPr="00153C86">
              <w:rPr>
                <w:rFonts w:ascii="Calibri" w:eastAsia="Times New Roman" w:hAnsi="Calibri" w:cs="Calibri"/>
                <w:color w:val="000000"/>
                <w:sz w:val="24"/>
                <w:szCs w:val="24"/>
                <w:lang w:eastAsia="en-GB"/>
              </w:rPr>
              <w:t>Big band</w:t>
            </w:r>
          </w:p>
        </w:tc>
      </w:tr>
      <w:tr w:rsidR="00FA474A" w:rsidTr="00600BA9">
        <w:trPr>
          <w:trHeight w:val="2242"/>
        </w:trPr>
        <w:tc>
          <w:tcPr>
            <w:tcW w:w="1287" w:type="dxa"/>
          </w:tcPr>
          <w:p w:rsidR="00FA474A" w:rsidRDefault="00FA474A" w:rsidP="00600BA9">
            <w:r>
              <w:t xml:space="preserve">Linked books </w:t>
            </w:r>
          </w:p>
        </w:tc>
        <w:tc>
          <w:tcPr>
            <w:tcW w:w="13389" w:type="dxa"/>
            <w:gridSpan w:val="11"/>
          </w:tcPr>
          <w:p w:rsidR="00FA474A" w:rsidRDefault="00FA474A" w:rsidP="00600BA9">
            <w:r>
              <w:t xml:space="preserve">                                                   </w:t>
            </w:r>
            <w:r>
              <w:rPr>
                <w:noProof/>
                <w:lang w:eastAsia="en-GB"/>
              </w:rPr>
              <w:drawing>
                <wp:inline distT="0" distB="0" distL="0" distR="0" wp14:anchorId="7DB1E858" wp14:editId="2D2B6631">
                  <wp:extent cx="1441365" cy="1447800"/>
                  <wp:effectExtent l="0" t="0" r="6985" b="0"/>
                  <wp:docPr id="1" name="Picture 1" descr="https://www.booksfortopics.com/wp-content/uploads/kitchen-dis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oksfortopics.com/wp-content/uploads/kitchen-disc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6197" cy="1452653"/>
                          </a:xfrm>
                          <a:prstGeom prst="rect">
                            <a:avLst/>
                          </a:prstGeom>
                          <a:noFill/>
                          <a:ln>
                            <a:noFill/>
                          </a:ln>
                        </pic:spPr>
                      </pic:pic>
                    </a:graphicData>
                  </a:graphic>
                </wp:inline>
              </w:drawing>
            </w:r>
            <w:r>
              <w:rPr>
                <w:noProof/>
                <w:lang w:eastAsia="en-GB"/>
              </w:rPr>
              <w:drawing>
                <wp:inline distT="0" distB="0" distL="0" distR="0">
                  <wp:extent cx="1466850" cy="1466850"/>
                  <wp:effectExtent l="0" t="0" r="0" b="0"/>
                  <wp:docPr id="2" name="Picture 2" descr="https://www.booksfortopics.com/wp-content/uploads/yes-you-can-cow-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oksfortopics.com/wp-content/uploads/yes-you-can-cow-3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Pr>
                <w:noProof/>
                <w:lang w:eastAsia="en-GB"/>
              </w:rPr>
              <w:drawing>
                <wp:inline distT="0" distB="0" distL="0" distR="0" wp14:anchorId="5E595655" wp14:editId="48FA1223">
                  <wp:extent cx="1294289" cy="1476375"/>
                  <wp:effectExtent l="0" t="0" r="1270" b="0"/>
                  <wp:docPr id="3" name="Picture 3" descr="https://www.booksfortopics.com/wp-content/uploads/zim-zam-zoom-263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oksfortopics.com/wp-content/uploads/zim-zam-zoom-263x30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766" cy="1490607"/>
                          </a:xfrm>
                          <a:prstGeom prst="rect">
                            <a:avLst/>
                          </a:prstGeom>
                          <a:noFill/>
                          <a:ln>
                            <a:noFill/>
                          </a:ln>
                        </pic:spPr>
                      </pic:pic>
                    </a:graphicData>
                  </a:graphic>
                </wp:inline>
              </w:drawing>
            </w:r>
            <w:r>
              <w:rPr>
                <w:noProof/>
                <w:lang w:eastAsia="en-GB"/>
              </w:rPr>
              <w:drawing>
                <wp:inline distT="0" distB="0" distL="0" distR="0" wp14:anchorId="090FB69A" wp14:editId="5031A62E">
                  <wp:extent cx="1466850" cy="1466850"/>
                  <wp:effectExtent l="0" t="0" r="0" b="0"/>
                  <wp:docPr id="5" name="Picture 5" descr="the diddle that du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iddle that dum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tc>
      </w:tr>
      <w:tr w:rsidR="002472CE" w:rsidTr="00600BA9">
        <w:trPr>
          <w:trHeight w:val="1124"/>
        </w:trPr>
        <w:tc>
          <w:tcPr>
            <w:tcW w:w="1287" w:type="dxa"/>
          </w:tcPr>
          <w:p w:rsidR="002472CE" w:rsidRDefault="002472CE" w:rsidP="00600BA9">
            <w:pPr>
              <w:jc w:val="center"/>
            </w:pPr>
            <w:r>
              <w:t>Curriculum end point</w:t>
            </w:r>
          </w:p>
        </w:tc>
        <w:tc>
          <w:tcPr>
            <w:tcW w:w="13389" w:type="dxa"/>
            <w:gridSpan w:val="11"/>
          </w:tcPr>
          <w:p w:rsidR="002472CE" w:rsidRDefault="002472CE" w:rsidP="00600BA9">
            <w:r w:rsidRPr="002472CE">
              <w:rPr>
                <w:rFonts w:ascii="Calibri" w:hAnsi="Calibri" w:cs="Calibri"/>
                <w:b/>
                <w:bCs/>
                <w:color w:val="222222"/>
              </w:rPr>
              <w:t>ELG</w:t>
            </w:r>
            <w:r w:rsidRPr="002472CE">
              <w:rPr>
                <w:rFonts w:ascii="Calibri" w:hAnsi="Calibri" w:cs="Calibri"/>
                <w:b/>
                <w:color w:val="222222"/>
              </w:rPr>
              <w:t>: Listening, Attention and Understanding</w:t>
            </w:r>
            <w:r>
              <w:rPr>
                <w:rFonts w:ascii="Calibri" w:hAnsi="Calibri" w:cs="Calibri"/>
                <w:color w:val="222222"/>
              </w:rPr>
              <w:br/>
              <w:t>Children at the expected level of development will</w:t>
            </w:r>
            <w:proofErr w:type="gramStart"/>
            <w:r>
              <w:rPr>
                <w:rFonts w:ascii="Calibri" w:hAnsi="Calibri" w:cs="Calibri"/>
                <w:color w:val="222222"/>
              </w:rPr>
              <w:t>:</w:t>
            </w:r>
            <w:proofErr w:type="gramEnd"/>
            <w:r>
              <w:rPr>
                <w:rFonts w:ascii="Calibri" w:hAnsi="Calibri" w:cs="Calibri"/>
                <w:color w:val="222222"/>
              </w:rPr>
              <w:br/>
              <w:t>Listen attentively and respond to what they hear with relevant questions, comments and actions when being read to and during whole class discussions and small group interactions.</w:t>
            </w:r>
          </w:p>
          <w:p w:rsidR="002472CE" w:rsidRDefault="002472CE" w:rsidP="00600BA9"/>
          <w:p w:rsidR="002472CE" w:rsidRPr="002472CE" w:rsidRDefault="002472CE" w:rsidP="00600BA9">
            <w:pPr>
              <w:rPr>
                <w:b/>
              </w:rPr>
            </w:pPr>
            <w:r w:rsidRPr="002472CE">
              <w:rPr>
                <w:b/>
              </w:rPr>
              <w:t>ELG: Being Imaginative and Expressive</w:t>
            </w:r>
          </w:p>
          <w:p w:rsidR="002472CE" w:rsidRDefault="002472CE" w:rsidP="00600BA9">
            <w:r>
              <w:t>Sing a range of well-known nursery rhymes and songs; Perform songs, rhymes, poems and stories with others, and – when appropriate – try to move in time with music.</w:t>
            </w:r>
          </w:p>
        </w:tc>
      </w:tr>
      <w:tr w:rsidR="00FA474A" w:rsidTr="00600BA9">
        <w:trPr>
          <w:trHeight w:val="557"/>
        </w:trPr>
        <w:tc>
          <w:tcPr>
            <w:tcW w:w="1287" w:type="dxa"/>
          </w:tcPr>
          <w:p w:rsidR="00FA474A" w:rsidRDefault="00FA474A" w:rsidP="00600BA9"/>
        </w:tc>
        <w:tc>
          <w:tcPr>
            <w:tcW w:w="3218" w:type="dxa"/>
            <w:gridSpan w:val="2"/>
          </w:tcPr>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b/>
                <w:bCs/>
                <w:color w:val="000000"/>
                <w:sz w:val="24"/>
                <w:szCs w:val="24"/>
                <w:u w:val="single"/>
                <w:lang w:eastAsia="en-GB"/>
              </w:rPr>
              <w:t>Music Focus: </w:t>
            </w:r>
          </w:p>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color w:val="000000"/>
                <w:sz w:val="24"/>
                <w:szCs w:val="24"/>
                <w:lang w:eastAsia="en-GB"/>
              </w:rPr>
              <w:t>Children explore how they can use their voice and bodies to make sounds, experiment with tempo and dynamic when playing instruments, identify sounds in the environment and differentiate between them.</w:t>
            </w:r>
          </w:p>
          <w:p w:rsidR="00FA474A" w:rsidRPr="00153C86" w:rsidRDefault="00FA474A" w:rsidP="00600BA9">
            <w:pPr>
              <w:rPr>
                <w:rFonts w:ascii="Times New Roman" w:eastAsia="Times New Roman" w:hAnsi="Times New Roman" w:cs="Times New Roman"/>
                <w:sz w:val="24"/>
                <w:szCs w:val="24"/>
                <w:lang w:eastAsia="en-GB"/>
              </w:rPr>
            </w:pPr>
          </w:p>
        </w:tc>
        <w:tc>
          <w:tcPr>
            <w:tcW w:w="1930" w:type="dxa"/>
            <w:gridSpan w:val="2"/>
          </w:tcPr>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b/>
                <w:bCs/>
                <w:color w:val="000000"/>
                <w:sz w:val="24"/>
                <w:szCs w:val="24"/>
                <w:u w:val="single"/>
                <w:lang w:eastAsia="en-GB"/>
              </w:rPr>
              <w:t>Music Focus:</w:t>
            </w:r>
          </w:p>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color w:val="000000"/>
                <w:sz w:val="24"/>
                <w:szCs w:val="24"/>
                <w:lang w:eastAsia="en-GB"/>
              </w:rPr>
              <w:t>Le</w:t>
            </w:r>
            <w:r>
              <w:rPr>
                <w:rFonts w:ascii="Calibri" w:eastAsia="Times New Roman" w:hAnsi="Calibri" w:cs="Calibri"/>
                <w:color w:val="000000"/>
                <w:sz w:val="24"/>
                <w:szCs w:val="24"/>
                <w:lang w:eastAsia="en-GB"/>
              </w:rPr>
              <w:t>arning abo</w:t>
            </w:r>
            <w:r w:rsidRPr="00153C86">
              <w:rPr>
                <w:rFonts w:ascii="Calibri" w:eastAsia="Times New Roman" w:hAnsi="Calibri" w:cs="Calibri"/>
                <w:color w:val="000000"/>
                <w:sz w:val="24"/>
                <w:szCs w:val="24"/>
                <w:lang w:eastAsia="en-GB"/>
              </w:rPr>
              <w:t xml:space="preserve">ut the music from a range of cultural and religious celebrations, including Diwali, Hanukkah, </w:t>
            </w:r>
            <w:proofErr w:type="spellStart"/>
            <w:r w:rsidRPr="00153C86">
              <w:rPr>
                <w:rFonts w:ascii="Calibri" w:eastAsia="Times New Roman" w:hAnsi="Calibri" w:cs="Calibri"/>
                <w:color w:val="000000"/>
                <w:sz w:val="24"/>
                <w:szCs w:val="24"/>
                <w:lang w:eastAsia="en-GB"/>
              </w:rPr>
              <w:t>Kwankzaa</w:t>
            </w:r>
            <w:proofErr w:type="spellEnd"/>
            <w:r w:rsidRPr="00153C86">
              <w:rPr>
                <w:rFonts w:ascii="Calibri" w:eastAsia="Times New Roman" w:hAnsi="Calibri" w:cs="Calibri"/>
                <w:color w:val="000000"/>
                <w:sz w:val="24"/>
                <w:szCs w:val="24"/>
                <w:lang w:eastAsia="en-GB"/>
              </w:rPr>
              <w:t xml:space="preserve"> and Christmas.</w:t>
            </w:r>
          </w:p>
        </w:tc>
        <w:tc>
          <w:tcPr>
            <w:tcW w:w="1930" w:type="dxa"/>
            <w:gridSpan w:val="2"/>
          </w:tcPr>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b/>
                <w:bCs/>
                <w:color w:val="000000"/>
                <w:sz w:val="24"/>
                <w:szCs w:val="24"/>
                <w:u w:val="single"/>
                <w:lang w:eastAsia="en-GB"/>
              </w:rPr>
              <w:t>Music Focus: </w:t>
            </w:r>
          </w:p>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color w:val="000000"/>
                <w:sz w:val="24"/>
                <w:szCs w:val="24"/>
                <w:lang w:eastAsia="en-GB"/>
              </w:rPr>
              <w:t xml:space="preserve">Using their voices, bodies and instruments to explore different types of transport, identify and mimic transport sounds and </w:t>
            </w:r>
            <w:r w:rsidRPr="00153C86">
              <w:rPr>
                <w:rFonts w:ascii="Calibri" w:eastAsia="Times New Roman" w:hAnsi="Calibri" w:cs="Calibri"/>
                <w:color w:val="000000"/>
                <w:sz w:val="24"/>
                <w:szCs w:val="24"/>
                <w:lang w:eastAsia="en-GB"/>
              </w:rPr>
              <w:lastRenderedPageBreak/>
              <w:t>interpret and perform a simple score.</w:t>
            </w:r>
          </w:p>
        </w:tc>
        <w:tc>
          <w:tcPr>
            <w:tcW w:w="2059" w:type="dxa"/>
            <w:gridSpan w:val="2"/>
          </w:tcPr>
          <w:p w:rsidR="00FA474A" w:rsidRPr="00153C86" w:rsidRDefault="00FA474A" w:rsidP="00600BA9">
            <w:pPr>
              <w:jc w:val="center"/>
              <w:rPr>
                <w:rFonts w:ascii="Times New Roman" w:eastAsia="Times New Roman" w:hAnsi="Times New Roman" w:cs="Times New Roman"/>
                <w:b/>
                <w:sz w:val="24"/>
                <w:szCs w:val="24"/>
                <w:lang w:eastAsia="en-GB"/>
              </w:rPr>
            </w:pPr>
            <w:r w:rsidRPr="00153C86">
              <w:rPr>
                <w:rFonts w:ascii="Calibri" w:eastAsia="Times New Roman" w:hAnsi="Calibri" w:cs="Calibri"/>
                <w:b/>
                <w:bCs/>
                <w:color w:val="000000"/>
                <w:sz w:val="24"/>
                <w:szCs w:val="24"/>
                <w:u w:val="single"/>
                <w:lang w:eastAsia="en-GB"/>
              </w:rPr>
              <w:lastRenderedPageBreak/>
              <w:t>Music Focus: </w:t>
            </w:r>
          </w:p>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color w:val="000000"/>
                <w:sz w:val="24"/>
                <w:szCs w:val="24"/>
                <w:lang w:eastAsia="en-GB"/>
              </w:rPr>
              <w:t>Creating simple actions to songs, learning how to move to a beat and expressing feelings and emotions through movement to music.</w:t>
            </w:r>
          </w:p>
          <w:p w:rsidR="00FA474A" w:rsidRPr="00153C86" w:rsidRDefault="00FA474A" w:rsidP="00600BA9">
            <w:pPr>
              <w:rPr>
                <w:rFonts w:ascii="Times New Roman" w:eastAsia="Times New Roman" w:hAnsi="Times New Roman" w:cs="Times New Roman"/>
                <w:sz w:val="24"/>
                <w:szCs w:val="24"/>
                <w:lang w:eastAsia="en-GB"/>
              </w:rPr>
            </w:pPr>
          </w:p>
        </w:tc>
        <w:tc>
          <w:tcPr>
            <w:tcW w:w="2059" w:type="dxa"/>
            <w:gridSpan w:val="2"/>
          </w:tcPr>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b/>
                <w:bCs/>
                <w:color w:val="000000"/>
                <w:sz w:val="24"/>
                <w:szCs w:val="24"/>
                <w:u w:val="single"/>
                <w:lang w:eastAsia="en-GB"/>
              </w:rPr>
              <w:lastRenderedPageBreak/>
              <w:t>Music Focus: </w:t>
            </w:r>
          </w:p>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color w:val="000000"/>
                <w:sz w:val="24"/>
                <w:szCs w:val="24"/>
                <w:lang w:eastAsia="en-GB"/>
              </w:rPr>
              <w:t xml:space="preserve">A unit based on traditional </w:t>
            </w:r>
            <w:proofErr w:type="spellStart"/>
            <w:r w:rsidRPr="00153C86">
              <w:rPr>
                <w:rFonts w:ascii="Calibri" w:eastAsia="Times New Roman" w:hAnsi="Calibri" w:cs="Calibri"/>
                <w:color w:val="000000"/>
                <w:sz w:val="24"/>
                <w:szCs w:val="24"/>
                <w:lang w:eastAsia="en-GB"/>
              </w:rPr>
              <w:t>childrens</w:t>
            </w:r>
            <w:proofErr w:type="spellEnd"/>
            <w:r w:rsidRPr="00153C86">
              <w:rPr>
                <w:rFonts w:ascii="Calibri" w:eastAsia="Times New Roman" w:hAnsi="Calibri" w:cs="Calibri"/>
                <w:color w:val="000000"/>
                <w:sz w:val="24"/>
                <w:szCs w:val="24"/>
                <w:lang w:eastAsia="en-GB"/>
              </w:rPr>
              <w:t xml:space="preserve">’ tales and songs, where pupils learn that music and instruments can be used to convey moods or </w:t>
            </w:r>
            <w:r w:rsidRPr="00153C86">
              <w:rPr>
                <w:rFonts w:ascii="Calibri" w:eastAsia="Times New Roman" w:hAnsi="Calibri" w:cs="Calibri"/>
                <w:color w:val="000000"/>
                <w:sz w:val="24"/>
                <w:szCs w:val="24"/>
                <w:lang w:eastAsia="en-GB"/>
              </w:rPr>
              <w:lastRenderedPageBreak/>
              <w:t>represent characters.</w:t>
            </w:r>
          </w:p>
        </w:tc>
        <w:tc>
          <w:tcPr>
            <w:tcW w:w="2193" w:type="dxa"/>
          </w:tcPr>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b/>
                <w:bCs/>
                <w:color w:val="000000"/>
                <w:sz w:val="24"/>
                <w:szCs w:val="24"/>
                <w:u w:val="single"/>
                <w:lang w:eastAsia="en-GB"/>
              </w:rPr>
              <w:lastRenderedPageBreak/>
              <w:t>Music Focus: </w:t>
            </w:r>
          </w:p>
          <w:p w:rsidR="00FA474A" w:rsidRPr="00153C86" w:rsidRDefault="00FA474A" w:rsidP="00600BA9">
            <w:pPr>
              <w:jc w:val="center"/>
              <w:rPr>
                <w:rFonts w:ascii="Times New Roman" w:eastAsia="Times New Roman" w:hAnsi="Times New Roman" w:cs="Times New Roman"/>
                <w:sz w:val="24"/>
                <w:szCs w:val="24"/>
                <w:lang w:eastAsia="en-GB"/>
              </w:rPr>
            </w:pPr>
            <w:r w:rsidRPr="00153C86">
              <w:rPr>
                <w:rFonts w:ascii="Calibri" w:eastAsia="Times New Roman" w:hAnsi="Calibri" w:cs="Calibri"/>
                <w:color w:val="000000"/>
                <w:sz w:val="24"/>
                <w:szCs w:val="24"/>
                <w:lang w:eastAsia="en-GB"/>
              </w:rPr>
              <w:t xml:space="preserve">Learning about the four different groups of musical instruments, following a beat using an </w:t>
            </w:r>
            <w:proofErr w:type="spellStart"/>
            <w:r w:rsidRPr="00153C86">
              <w:rPr>
                <w:rFonts w:ascii="Calibri" w:eastAsia="Times New Roman" w:hAnsi="Calibri" w:cs="Calibri"/>
                <w:color w:val="000000"/>
                <w:sz w:val="24"/>
                <w:szCs w:val="24"/>
                <w:lang w:eastAsia="en-GB"/>
              </w:rPr>
              <w:t>untuned</w:t>
            </w:r>
            <w:proofErr w:type="spellEnd"/>
            <w:r w:rsidRPr="00153C86">
              <w:rPr>
                <w:rFonts w:ascii="Calibri" w:eastAsia="Times New Roman" w:hAnsi="Calibri" w:cs="Calibri"/>
                <w:color w:val="000000"/>
                <w:sz w:val="24"/>
                <w:szCs w:val="24"/>
                <w:lang w:eastAsia="en-GB"/>
              </w:rPr>
              <w:t xml:space="preserve"> instrument and performing a </w:t>
            </w:r>
            <w:r w:rsidRPr="00153C86">
              <w:rPr>
                <w:rFonts w:ascii="Calibri" w:eastAsia="Times New Roman" w:hAnsi="Calibri" w:cs="Calibri"/>
                <w:color w:val="000000"/>
                <w:sz w:val="24"/>
                <w:szCs w:val="24"/>
                <w:lang w:eastAsia="en-GB"/>
              </w:rPr>
              <w:lastRenderedPageBreak/>
              <w:t>practised song to a small audience.</w:t>
            </w:r>
          </w:p>
        </w:tc>
      </w:tr>
      <w:tr w:rsidR="00FA474A" w:rsidTr="00600BA9">
        <w:trPr>
          <w:trHeight w:val="271"/>
        </w:trPr>
        <w:tc>
          <w:tcPr>
            <w:tcW w:w="14676" w:type="dxa"/>
            <w:gridSpan w:val="12"/>
          </w:tcPr>
          <w:p w:rsidR="00FA474A" w:rsidRPr="002472CE" w:rsidRDefault="00FA474A" w:rsidP="00600BA9">
            <w:pPr>
              <w:jc w:val="center"/>
              <w:rPr>
                <w:b/>
              </w:rPr>
            </w:pPr>
            <w:r w:rsidRPr="002472CE">
              <w:rPr>
                <w:b/>
              </w:rPr>
              <w:lastRenderedPageBreak/>
              <w:t>Skills</w:t>
            </w:r>
          </w:p>
        </w:tc>
      </w:tr>
      <w:tr w:rsidR="00FA474A" w:rsidTr="00600BA9">
        <w:trPr>
          <w:trHeight w:val="1462"/>
        </w:trPr>
        <w:tc>
          <w:tcPr>
            <w:tcW w:w="1287" w:type="dxa"/>
          </w:tcPr>
          <w:p w:rsidR="00FA474A" w:rsidRDefault="00FA474A" w:rsidP="00600BA9">
            <w:r>
              <w:t xml:space="preserve">Composing </w:t>
            </w:r>
          </w:p>
        </w:tc>
        <w:tc>
          <w:tcPr>
            <w:tcW w:w="13389" w:type="dxa"/>
            <w:gridSpan w:val="11"/>
          </w:tcPr>
          <w:p w:rsidR="00FA474A" w:rsidRPr="002472CE" w:rsidRDefault="00FA474A" w:rsidP="00600BA9">
            <w:r w:rsidRPr="00153C86">
              <w:rPr>
                <w:rFonts w:ascii="Calibri" w:eastAsia="Times New Roman" w:hAnsi="Calibri" w:cs="Calibri"/>
                <w:bCs/>
                <w:color w:val="222222"/>
                <w:sz w:val="24"/>
                <w:szCs w:val="24"/>
                <w:lang w:eastAsia="en-GB"/>
              </w:rPr>
              <w:t xml:space="preserve">Playing </w:t>
            </w:r>
            <w:proofErr w:type="spellStart"/>
            <w:r w:rsidRPr="00153C86">
              <w:rPr>
                <w:rFonts w:ascii="Calibri" w:eastAsia="Times New Roman" w:hAnsi="Calibri" w:cs="Calibri"/>
                <w:bCs/>
                <w:color w:val="222222"/>
                <w:sz w:val="24"/>
                <w:szCs w:val="24"/>
                <w:lang w:eastAsia="en-GB"/>
              </w:rPr>
              <w:t>untuned</w:t>
            </w:r>
            <w:proofErr w:type="spellEnd"/>
            <w:r w:rsidRPr="00153C86">
              <w:rPr>
                <w:rFonts w:ascii="Calibri" w:eastAsia="Times New Roman" w:hAnsi="Calibri" w:cs="Calibri"/>
                <w:bCs/>
                <w:color w:val="222222"/>
                <w:sz w:val="24"/>
                <w:szCs w:val="24"/>
                <w:lang w:eastAsia="en-GB"/>
              </w:rPr>
              <w:t xml:space="preserve"> percussion ‘in time’ with a piece of music. </w:t>
            </w:r>
            <w:r w:rsidRPr="002472CE">
              <w:rPr>
                <w:rFonts w:ascii="Calibri" w:eastAsia="Times New Roman" w:hAnsi="Calibri" w:cs="Calibri"/>
                <w:bCs/>
                <w:color w:val="222222"/>
                <w:sz w:val="24"/>
                <w:szCs w:val="24"/>
                <w:lang w:eastAsia="en-GB"/>
              </w:rPr>
              <w:br/>
            </w:r>
            <w:r w:rsidRPr="00153C86">
              <w:rPr>
                <w:rFonts w:ascii="Calibri" w:eastAsia="Times New Roman" w:hAnsi="Calibri" w:cs="Calibri"/>
                <w:bCs/>
                <w:color w:val="222222"/>
                <w:sz w:val="24"/>
                <w:szCs w:val="24"/>
                <w:lang w:eastAsia="en-GB"/>
              </w:rPr>
              <w:t xml:space="preserve">Selecting classroom objects to use as instruments. </w:t>
            </w:r>
            <w:r w:rsidRPr="002472CE">
              <w:rPr>
                <w:rFonts w:ascii="Calibri" w:eastAsia="Times New Roman" w:hAnsi="Calibri" w:cs="Calibri"/>
                <w:bCs/>
                <w:color w:val="222222"/>
                <w:sz w:val="24"/>
                <w:szCs w:val="24"/>
                <w:lang w:eastAsia="en-GB"/>
              </w:rPr>
              <w:br/>
            </w:r>
            <w:r w:rsidRPr="00153C86">
              <w:rPr>
                <w:rFonts w:ascii="Calibri" w:eastAsia="Times New Roman" w:hAnsi="Calibri" w:cs="Calibri"/>
                <w:bCs/>
                <w:color w:val="222222"/>
                <w:sz w:val="24"/>
                <w:szCs w:val="24"/>
                <w:lang w:eastAsia="en-GB"/>
              </w:rPr>
              <w:t xml:space="preserve">Experimenting with body percussion and vocal sounds to respond to music. </w:t>
            </w:r>
            <w:r w:rsidRPr="002472CE">
              <w:rPr>
                <w:rFonts w:ascii="Calibri" w:eastAsia="Times New Roman" w:hAnsi="Calibri" w:cs="Calibri"/>
                <w:bCs/>
                <w:color w:val="222222"/>
                <w:sz w:val="24"/>
                <w:szCs w:val="24"/>
                <w:lang w:eastAsia="en-GB"/>
              </w:rPr>
              <w:br/>
            </w:r>
            <w:r w:rsidRPr="00153C86">
              <w:rPr>
                <w:rFonts w:ascii="Calibri" w:eastAsia="Times New Roman" w:hAnsi="Calibri" w:cs="Calibri"/>
                <w:bCs/>
                <w:color w:val="222222"/>
                <w:sz w:val="24"/>
                <w:szCs w:val="24"/>
                <w:lang w:eastAsia="en-GB"/>
              </w:rPr>
              <w:t xml:space="preserve">Selecting appropriate instruments to represent action and mood. </w:t>
            </w:r>
            <w:r w:rsidRPr="002472CE">
              <w:rPr>
                <w:rFonts w:ascii="Calibri" w:eastAsia="Times New Roman" w:hAnsi="Calibri" w:cs="Calibri"/>
                <w:bCs/>
                <w:color w:val="222222"/>
                <w:sz w:val="24"/>
                <w:szCs w:val="24"/>
                <w:lang w:eastAsia="en-GB"/>
              </w:rPr>
              <w:br/>
            </w:r>
            <w:r w:rsidRPr="00153C86">
              <w:rPr>
                <w:rFonts w:ascii="Calibri" w:eastAsia="Times New Roman" w:hAnsi="Calibri" w:cs="Calibri"/>
                <w:bCs/>
                <w:color w:val="222222"/>
                <w:sz w:val="24"/>
                <w:szCs w:val="24"/>
                <w:lang w:eastAsia="en-GB"/>
              </w:rPr>
              <w:t>Experimenting with playing instruments in different ways.</w:t>
            </w:r>
          </w:p>
        </w:tc>
      </w:tr>
      <w:tr w:rsidR="00FA474A" w:rsidTr="00600BA9">
        <w:trPr>
          <w:trHeight w:val="1462"/>
        </w:trPr>
        <w:tc>
          <w:tcPr>
            <w:tcW w:w="1287" w:type="dxa"/>
          </w:tcPr>
          <w:p w:rsidR="00FA474A" w:rsidRDefault="00FA474A" w:rsidP="00600BA9">
            <w:r>
              <w:t xml:space="preserve">Performing </w:t>
            </w:r>
          </w:p>
        </w:tc>
        <w:tc>
          <w:tcPr>
            <w:tcW w:w="13389" w:type="dxa"/>
            <w:gridSpan w:val="11"/>
          </w:tcPr>
          <w:p w:rsidR="00FA474A" w:rsidRPr="002472CE" w:rsidRDefault="00FA474A" w:rsidP="00600BA9">
            <w:r w:rsidRPr="00153C86">
              <w:rPr>
                <w:rFonts w:ascii="Calibri" w:eastAsia="Times New Roman" w:hAnsi="Calibri" w:cs="Calibri"/>
                <w:bCs/>
                <w:color w:val="222222"/>
                <w:sz w:val="24"/>
                <w:szCs w:val="24"/>
                <w:lang w:eastAsia="en-GB"/>
              </w:rPr>
              <w:t xml:space="preserve">Using their voices to join in with well-known songs from memory. </w:t>
            </w:r>
            <w:r w:rsidRPr="00153C86">
              <w:rPr>
                <w:rFonts w:ascii="Calibri" w:eastAsia="Times New Roman" w:hAnsi="Calibri" w:cs="Calibri"/>
                <w:bCs/>
                <w:color w:val="222222"/>
                <w:sz w:val="24"/>
                <w:szCs w:val="24"/>
                <w:lang w:eastAsia="en-GB"/>
              </w:rPr>
              <w:br/>
              <w:t xml:space="preserve">Remembering and maintaining their role within a group performance. </w:t>
            </w:r>
            <w:r w:rsidRPr="00153C86">
              <w:rPr>
                <w:rFonts w:ascii="Calibri" w:eastAsia="Times New Roman" w:hAnsi="Calibri" w:cs="Calibri"/>
                <w:bCs/>
                <w:color w:val="222222"/>
                <w:sz w:val="24"/>
                <w:szCs w:val="24"/>
                <w:lang w:eastAsia="en-GB"/>
              </w:rPr>
              <w:br/>
              <w:t xml:space="preserve">Moving to music with instruction to perform actions. </w:t>
            </w:r>
            <w:r w:rsidRPr="00153C86">
              <w:rPr>
                <w:rFonts w:ascii="Calibri" w:eastAsia="Times New Roman" w:hAnsi="Calibri" w:cs="Calibri"/>
                <w:bCs/>
                <w:color w:val="222222"/>
                <w:sz w:val="24"/>
                <w:szCs w:val="24"/>
                <w:lang w:eastAsia="en-GB"/>
              </w:rPr>
              <w:br/>
              <w:t>Participating in performances to a small audience.</w:t>
            </w:r>
            <w:r w:rsidRPr="00153C86">
              <w:rPr>
                <w:rFonts w:ascii="Calibri" w:eastAsia="Times New Roman" w:hAnsi="Calibri" w:cs="Calibri"/>
                <w:bCs/>
                <w:color w:val="222222"/>
                <w:sz w:val="24"/>
                <w:szCs w:val="24"/>
                <w:lang w:eastAsia="en-GB"/>
              </w:rPr>
              <w:br/>
              <w:t xml:space="preserve"> Stopping and starting playing at the right time. </w:t>
            </w:r>
          </w:p>
        </w:tc>
      </w:tr>
      <w:tr w:rsidR="002472CE" w:rsidTr="000A6BA8">
        <w:trPr>
          <w:trHeight w:val="558"/>
        </w:trPr>
        <w:tc>
          <w:tcPr>
            <w:tcW w:w="1287" w:type="dxa"/>
          </w:tcPr>
          <w:p w:rsidR="002472CE" w:rsidRDefault="002472CE" w:rsidP="00600BA9">
            <w:r>
              <w:t xml:space="preserve">Vocabulary </w:t>
            </w:r>
          </w:p>
        </w:tc>
        <w:tc>
          <w:tcPr>
            <w:tcW w:w="2231" w:type="dxa"/>
          </w:tcPr>
          <w:p w:rsidR="002472CE" w:rsidRDefault="002472CE" w:rsidP="00600BA9">
            <w:r>
              <w:t>voice, voice sounds, sound, instrument, loud, quiet, high, low, squeaky, soft, deep, body sounds, body percussion, sound, tempo, fast, slow, rhythm, beat, instrumental sounds, tempo, fast, quickly, slowly, dynamic, loudly, quietly, environmental sounds, pitch, middle, nature sounds</w:t>
            </w:r>
          </w:p>
        </w:tc>
        <w:tc>
          <w:tcPr>
            <w:tcW w:w="2231" w:type="dxa"/>
            <w:gridSpan w:val="2"/>
          </w:tcPr>
          <w:p w:rsidR="002472CE" w:rsidRDefault="002472CE" w:rsidP="00600BA9">
            <w:r>
              <w:t xml:space="preserve">music, dance, tempo, move, Diwali, celebration, traditional, Hanukkah, Hora, </w:t>
            </w:r>
            <w:proofErr w:type="spellStart"/>
            <w:r>
              <w:t>kinnor</w:t>
            </w:r>
            <w:proofErr w:type="spellEnd"/>
            <w:r>
              <w:t xml:space="preserve">, harp, flute, Jewish, trumpet, cymbals, tambourine, shofar, </w:t>
            </w:r>
            <w:proofErr w:type="spellStart"/>
            <w:r>
              <w:t>Kwanzaa</w:t>
            </w:r>
            <w:proofErr w:type="spellEnd"/>
            <w:r>
              <w:t>, Africa, culture, call, response, drum, rhythm, beat, instrument, Christmas, Christian, sleigh bells, actions, action songs, voice sounds, body percussion</w:t>
            </w:r>
          </w:p>
        </w:tc>
        <w:tc>
          <w:tcPr>
            <w:tcW w:w="2231" w:type="dxa"/>
            <w:gridSpan w:val="2"/>
          </w:tcPr>
          <w:p w:rsidR="002472CE" w:rsidRDefault="00274936" w:rsidP="00600BA9">
            <w:r>
              <w:t>car, boat, train, beat, fast, slow, speed, cruise, rowing, water, symbols, slower, faster, stopping, journey, score</w:t>
            </w:r>
          </w:p>
        </w:tc>
        <w:tc>
          <w:tcPr>
            <w:tcW w:w="2231" w:type="dxa"/>
            <w:gridSpan w:val="2"/>
          </w:tcPr>
          <w:p w:rsidR="002472CE" w:rsidRDefault="00274936" w:rsidP="00600BA9">
            <w:r>
              <w:t>actions, action songs, sign language, Makaton, deaf, communication, communicating, understand, lyrics, verse, beat, music, heartbeat, pulse, steady, repeat, constant, drum, piece, composer, tempo, fast, moderate, medium, slow, dance, pitch, high, low, sound, whistle, triangle, siren, cello, perform, performance, audience</w:t>
            </w:r>
          </w:p>
        </w:tc>
        <w:tc>
          <w:tcPr>
            <w:tcW w:w="2231" w:type="dxa"/>
            <w:gridSpan w:val="2"/>
          </w:tcPr>
          <w:p w:rsidR="002472CE" w:rsidRDefault="00274936" w:rsidP="00600BA9">
            <w:r>
              <w:t>classical music, pitch, high, low, tempo, fast, slow, dynamic, loud, quiet, musical story, lyrics, melody, character, instrument, song, actions, percussion, compose, perform, performance</w:t>
            </w:r>
          </w:p>
        </w:tc>
        <w:tc>
          <w:tcPr>
            <w:tcW w:w="2234" w:type="dxa"/>
            <w:gridSpan w:val="2"/>
          </w:tcPr>
          <w:p w:rsidR="002472CE" w:rsidRDefault="00274936" w:rsidP="00600BA9">
            <w:r>
              <w:t>music, musical instrument, band, sound, shake, tap, bang, strum, jingle, tempo, dynamic, pitch, beat, orchestra, sound, rhythm, beat, conductor, wind, strings, percussion, brass</w:t>
            </w:r>
          </w:p>
        </w:tc>
      </w:tr>
    </w:tbl>
    <w:p w:rsidR="0039394F" w:rsidRDefault="000A6BA8"/>
    <w:p w:rsidR="00274936" w:rsidRDefault="00274936"/>
    <w:p w:rsidR="00274936" w:rsidRDefault="00274936"/>
    <w:p w:rsidR="00274936" w:rsidRDefault="00274936"/>
    <w:p w:rsidR="00274936" w:rsidRDefault="00274936"/>
    <w:p w:rsidR="00274936" w:rsidRDefault="00274936"/>
    <w:p w:rsidR="00274936" w:rsidRDefault="00274936"/>
    <w:p w:rsidR="00274936" w:rsidRDefault="00274936"/>
    <w:p w:rsidR="00274936" w:rsidRDefault="00274936"/>
    <w:p w:rsidR="00274936" w:rsidRDefault="00274936"/>
    <w:p w:rsidR="00274936" w:rsidRDefault="00274936"/>
    <w:p w:rsidR="00274936" w:rsidRDefault="00274936"/>
    <w:sectPr w:rsidR="00274936" w:rsidSect="00FA47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4A"/>
    <w:rsid w:val="000875D0"/>
    <w:rsid w:val="000A6BA8"/>
    <w:rsid w:val="002472CE"/>
    <w:rsid w:val="00274936"/>
    <w:rsid w:val="005A661A"/>
    <w:rsid w:val="00600BA9"/>
    <w:rsid w:val="00AB620E"/>
    <w:rsid w:val="00FA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875C"/>
  <w15:chartTrackingRefBased/>
  <w15:docId w15:val="{BEA370EB-FB75-4924-B100-BFE74C96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93BB-D395-4CE7-9391-2DF77EDC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Roddick</dc:creator>
  <cp:keywords/>
  <dc:description/>
  <cp:lastModifiedBy>Kirsty Roddick</cp:lastModifiedBy>
  <cp:revision>2</cp:revision>
  <dcterms:created xsi:type="dcterms:W3CDTF">2023-09-27T07:14:00Z</dcterms:created>
  <dcterms:modified xsi:type="dcterms:W3CDTF">2023-09-27T07:14:00Z</dcterms:modified>
</cp:coreProperties>
</file>